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25.06.2020, оставленным без изменения постановлением Первого арбитражного апелляционного суда от 08.09.2020, общество привлечено к административной ответственности по части 2 статьи 14.57 Кодекса Российской Федерации об 2 административных правонарушениях и ему назначено наказание в виде предупреждения. Постановлением Арбитражного суда Волго-Вятского округа от 07.12.2020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обществом законодательства при осуществлении деятельности по возврату просроченной задолженности, а именно части 5 статьи 6, пунктов 1, 2 части 4 статьи 7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Указанные обстоятельства послужили основанием для составления протокола по части 2 статьи 14.57 Кодекса Российской Федерации об административных правонарушениях и обращения в арбитражный суд с соответствующим заявлением.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3 исключением случаев, предусмотренных частью 2 настоящей статьи, - влечет наложение административного штрафа на юридических лиц - от двадцати тысяч до двухсот тысяч рублей.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вменяемого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Процедура и срок давности привлечения к ответственности соблюдены. Оснований для признания правонарушения малозначительным и применения положений статьи 2.9 Кодекса Российской Федерации об административных правонарушениях судами не установлено. Доводы жалобы сводятся к несогласию заявителя с установленными судами фактическими обстоятельствами дела и оценкой доказательств, что в 4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