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26.05.2020, оставленным без изменения постановлением Пятнадцатого арбитражного апелляционного суда от 17.08.2020, в удовлетворении заявления отказано. 2 Постановлением Арбитражного суда Северо-Кавказского округа от 04.12.2020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с нарушением условий лицензии и действующего проектного документа по разработке нефтяного месторождения.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привлечения к административной ответственности соблюдены, признав, что общество не выполнило условия лицензии и на момент проведения проверки продолжало пользоваться недрами с нарушением. Наказание назначено в минимальном размере санкции нормы. Вина заявителя в совершении правонарушения с учетом положений статьи 2.1 Кодекса Российской Федерации об административных правонарушениях установлена. 3 Доводы жалобы были предметом исследования судов и получили исчерпывающую правовую оценку в обжалуемых судебных актах с учетом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