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25.08.2020, оставленным без изменения постановлением Одиннадцатого арбитражного апелляционного суда от 20.10.2020, признано незаконным и изменено оспариваемое постановление в части назначенного наказания, штраф заменен на предупреждение. Постановлением Арбитражного суда Поволжского округа от 21.01.2021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движения транспортного средства общества, имеющего разрешенную максимальную массу свыше 12 тонн, без внесения платы в счет возмещения вреда, причиняемого автомобильным дорогам общего пользования федерального значения. Частью 1 статьи 12.21.3 Кодекса Российской Федерации об административных правонарушениях предусмотрена административная ответственность за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Оценив представленные доказательства, руководствуясь положениями Федерального закона от 08.11.2007 № 257-ФЗ «О дорогах и дорожной 3 деятельности в Российской Федерации и о внесении изменений в отдельные законодательные акты Российской Федерации», постановления Правительства РФ от 14.06.2013 № 504 «О взимании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Федерального закона от 26.06.2008 № 102-ФЗ «Об обеспечении единства измерений», суды пришли к выводу о доказанности административным органом в действиях общества состава административного правонарушения, ответственность за совершение которого предусмотрена частью 1 статьи 12.21.3 Кодекса Российской Федерации об административных правонарушениях, признав, что движение транспортного средства с использованием не поверенного бортового устройства не может считаться движением с наличием такого устройства. Суды указали, что процедура и срок привлечения к административной ответственности соблюдены, вина заявителя в совершении правонарушения с учетом положений статьи 2.1 Кодекса Российской Федерации об административных правонарушениях установлена. Доводы жалобы были предметом исследования судов и получили исчерпывающую правовую оценку в обжалуемых судебных актах с учетом отсутствия доказательств, свидетельствующих о том, что начисления в системе взимания платы сформированы надлежащим образом, не согласиться с которой с учетом доводов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