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Соловьёв Максим Вячеславович обратился в суд с заявлением о признании недействительной сделкой списания денежных средств в пользу общества в размере 657 829 рублей 75 копеек; применении последствий недействительности сделки. Определением Арбитражного суда города Москвы от 16.06.2020, оставленным без изменения постановлениями Девятого арбитражного апелляционного суда от 14.08.2020 и Арбитражного суда Московского округа от 02.12.2020,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61.3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недействительной сделкой безакцептного списания денежных средств с расчётного счёта должника, совершённого в течение месяца до принятия судом заявления о признании должника банкротом, за пределами обычной хозяйственной деятельности и повлекшего за собой оказание обществу предпочтения в удовлетворении его требований перед иными кредиторами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Воронеж»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