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30.01.2020, оставленным без изменения постановлением Девятого арбитражного апелляционного суда от 03.07.2020 и постановлением Арбитражного суда Московского округа от 17.11.2020, в удовлетворении заявленных требований отказано. В кассационной жалобе, поданной в Верховный Суд Российской Федерации, агентство, ссылаясь на нарушение судами норм права, просит отменить указанные судебные акты и принять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условия договоров лизинга и Общих условий договора лизинга, предусматривающих право общества (лизингодателя) на одностороннее расторжение договора в случае, если предмет лизинга передан лизингодателем третьим лицам, перемещен за пределы указанной в договоре территории без письменного согласия лизингодателя, установив, что лизингополучателем совершены действия, которые могли привести к утрате предметов лизинга, доказательств обратного истцом не представлено, руководствуясь статьями 309, 310, 421, 450, 614, 665 Гражданского кодекса Российской Федерации, статьями 11, 13 Федерального закона от 29.10.1998 № 164-ФЗ «О финансовой аренде (лизинге)», суды первой и апелляционной инстанций пришли к выводу о наличии у общества правовых оснований для расторжения договоров лизинга, в связи с чем отказали в удовлетворении заявленных требований. С выводами судов первой и апелляционной инстанций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«Республиканское консалтинговое агентство»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