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11.06.2020, оставленным без изменения постановлением Девятого арбитражного апелляционного суда от 05.10.2020 и постановлением Арбитражного суда Московского округа от 21.12.2020, с компании в пользу общества взыскано неосновательное обогащение в размере 481 897 руб. 48 коп., проценты за пользование чужими денежными средствами в размере 10 419 руб. 79 коп., проценты за пользование чужими денежными средствами, начиная с 17.04.2020 по дату фактической оплаты, расходы по оценке в размере 6500 руб., расходы на оплату услуг представителя в размере 25 533 руб. 52 коп., почтовые расходы в размере 414 руб.,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договором лизинга предусмотрен порядок распределения имущественных последствий при его досрочном расторжении, определив сальдо встречных обязательств с учетом условий договора (пункт 15.7.1 Правил лизинга), руководствуясь статьями 421 , 422 , 431 , 1102 Гражданского кодекса Российской Федерации, пришли к выводу о наличии на стороне ответчика неосновательного обогащения в сумме 481 897 руб. 48 коп., подлежащего возврату с начислением процентов за пользование чужими денежными средствами. С выводами судов первой и апелляционной инстанций впоследствии согласился суд округа. Доводы кассационной жалобы, с учетом установленных фактических обстоятельств,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«Саймаа-сервис»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"Саймаа-Сервис" (подробнее) Ответчики: АО "Лизинговая компания "Европлан"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