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31.07.2020, оставленным без изменения постановлением Восемнадцатого арбитражного апелляционного суда от 29.09.2020 и постановлением Арбитражного суда Уральского округа от 24.11.2020, производство по делу прекращено на основании пункта 2 части 1 статьи 150 Арбитражного процессуального кодекса Российской Федерации.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Оренбургской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обжалуемых судебных актов и доводов кассационной жалобы не установлено. Прекращая производство по делу, суд первой инстанции руководствовался пунктом 2 части 1 статьи 150 Арбитражного процессуального кодекса Российской Федерации и исходил из того, что предмет и основания иска по настоящему делу тождественны исковым требованиям, заявленным в делах № А47-9573/2015, № А47-10717/2019, в которых участвовали те же лица, о чем имеются вступившие в законную силу судебные акты. С выводами суда первой инстанции согласились апелляционный и окружной суды.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«ДизайнКомплект»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 Дизайнкомплект" (подробнее) ООО "ДизайнКомплект" в лице к/у Лаптовой Ирины Сергеевны (подробнее) Ответчики: ООО "Газпром добыча Оренбург" (подробнее) Иные лица: Арбитражный суд Уральского округа (подробнее) Восемнадцатый арбитражный апелляционный суд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