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13.03.2020, оставленным без изменения постановлением Четвертого арбитражного апелляционного суда от 07.08.2020 и постановлением Арбитражного суда Восточно-Сибирского округа от 18.11.2020, исковые требования удовлетворены. В кассационной жалобе, поданной в Верховный Суд Российской Федерации, товарищество, ссылаясь на нарушение судами норм права, просит отменить указанные судебные акты и направить дело на новое рассмотрение в суд первой инстанции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в рамках спорного договора в заявленный период, отсутствие доказательств их оплаты товариществом, руководствуясь статьями 8, 309, 310, 395 Гражданского кодекса Российской Федерации, суды первой и апелляционной инстанций пришли к выводу об удовлетворении исковых требований, с чем впоследствии согласился суд округа. Доводы кассационной жалобы были предметом рассмотрения суда округа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«Дархан»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