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Калужской области от 06.08.2020, оставленным без изменения постановлением Двадцатого арбитражного апелляционного суда от 30.09.2020 и постановлением Арбитражного суда Центрального округа от 13.01.2021, в удовлетворении исковых требований отказано. В кассационной жалобе, поданной в Верховный Суд Российской Федерации, организация, ссылаясь на нарушение судами норм права, просит отменить указанные судебные акты и направить дело на новое рассмотрение в Арбитражный суд Калужской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Как следует из судебных актов, требования организации мотивированы тем, что ей от третьего лица в соответствии с соглашением об уступке перешло право получения денежных средств, причитающихся последнему в связи с расторжением им договора купли-продажи автомобиля, заключенного с обществом.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454, 469 Гражданского кодекса Российской Федерации, положениями Закона Российской Федерации от 07.02.1992 № 2300-1 «О защите прав потребителей», разъяснениями, изложенными в постановлении Пленума Верховного Суда Российской Федерации от 28.06.2012 № 17 «О рассмотрении судами гражданских дел по спорам о защите прав потребителей», суды первой и апелляционной инстанций признали исковые требования не подлежащими удовлетворению, исходя из того, что организации передано несуществующее право, поскольку факт нарушения обществом сроков устранения недостатков автомобиля не подтвержден, а следовательно, у третьего лица отсутствовало право отказа от исполнения договора и требования возврата денежных средств по данному основанию. С выводами судов первой и апелляционной инстанций впоследствии согласился суд округа. Доводы кассационной жалобы не опровергают выводы судов, направлены на переоценку обстоятельств, установленных судами, и не подтверждают 3 существенных нарушений судами норм материального и процессуального права, повлиявших на исход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региональной общественной организации инвалидов «Отрада»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