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25.03.2020, оставленным без изменения постановлением Тринадцатого арбитражного апелляционного суда от 07.08.2020 и постановлением Арбитражного суда Северо-Западного округа от 24.11.2020,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2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общества (покупатель) мотивированы тем, что ему в рамках заключенного с компанией (продавец) договора от 13.08.2018 № 847217 был передан товар ненадлежащего качества.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признали неподтвержденным факт поставки ответчиком товара, несоответствующего согласованным условиям по ассортименту и непригодного к использованию, и, руководствуясь статьями 467, 468, 483, 484, 506, 513 Гражданского кодекса Российской Федерации, отказали в удовлетворении исковых требований. С выводами судов первой и апелляционной инстанций впоследствии согласился суд округа. Доводы кассационной жалобы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процессуального права, повлиявших на исход дела, не подтверждают,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«Аквелла 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