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26.11.2019, оставленным без изменения постановлением Тринадцатого арбитражного апелляционного суда от 03.09.2020 и постановлением Арбитражного суда Северо-Западного округа от 14.12.2020,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2 права, просит отменить указанные судебные акты и принять новый судебный акт об удовлетворении исковых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общества (субподрядчик) мотивированы тем, что компания (подрядчик) не исполнила в полном объеме обязательства по оплате работ, выполненных субподрядчиком в рамках договора от 10.04.2018 № 10/04-18КСТМ (далее – договор). Исследовав и оценив по правилам статьи 71 Арбитражного процессуального кодекса представленные в материалы дела доказательства, принимая во внимание условия договора, согласно которым обязанность подрядчика по оплате работ возникает с момента предоставления субподрядчиком банковской гарантии, выдаваемой на случай неисполнения (ненадлежащего исполнения) последним гарантийных обязательств, учитывая, что субподрядчик на стадии согласования и подписания договора каких-либо возражений по поводу данных условий не заявил, эти условия не являлись обременительными и не влекли за собой нарушение баланса интересов сторон, установив, что банковская гарантия субподрядчиком не предоставлена, руководствуясь статьями 309, 310, 368, 369, 370, 421, 711, 720, 723, 740, 746, 753 Гражданского кодекса Российской Федерации, разъяснениями, приведенными в постановлении Пленума Высшего Арбитражного Суда Российской Федерации от 14.03.2014 № 16 «О свободе договора и ее пределах», суды первой и апелляционной инстанций пришли к выводу об отсутствии оснований для удовлетворения исковых требований. Суд округа согласился с выводами судов первой и апелляционной инстанций. Доводы кассационной жалобы не опровергают выводы судов,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судебных актов в кассационном 3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«КомплексСтройТехМонтаж»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