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12.03.2020 исковые требования удовлетворены. Постановлением Тринадцатого арбитражного апелляционного суда от 20.07.2020 решение суда первой инстанции отменено, в удовлетворении исковых требований отказано. Постановлением Арбитражного суда Северо-Западного округа от 24.11.2020 постановление суда апелляционной инстанции оставлено без изменения. 2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Исследовав и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в том числе договоры подряда, акты формы КС-2, справки формы КС-3, журналы производства работ, акты освидетельствования скрытых работ, суд апелляционной инстанции признал неподтвержденным факт выполнения обществом работ в заявленных объемах в периоды действия договоров. При таких обстоятельствах, отметив, что общество о проведении судебно-технической строительной экспертизы объемов и стоимости работ не ходатайствовало, возражало против удовлетворения соответствующего ходатайства компании, руководствуясь статьями 309, 310, 702, 711 Гражданского кодекса Российской Федерации, пришел к выводу об отсутствии оснований для удовлетворения исковых требований.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кассационной жалобы не опровергают выводы апелляционного и окружного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«СТРОЙЭНЕРГОСЕРВИС»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