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по защите природы «Экотор» (поставщик) обратилось в Арбитражный суд Краснодарского края с иском о взыскании с общества с ограниченной ответственностью «КДВ Воронеж» (покупателя) 13 201 616 рублей 08 копеек задолженности по договору от 03.12.2015 № 31/08-2015. Определением суда от 24.09.2019 принят к производству уточненный встречный иск ООО «КДВ «Воронеж» к ООО «Компания по защите природы «Экотор» о взыскании 34 474 758 рублей 30 копеек уплаченного аванса по договору от 03.12.2015 № 31/08-2015.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«Синергия». Решением Арбитражного суда Краснодарского края от 10.07.2020 первоначальный иск удовлетворен в части взыскания 11 265 916 рублей 2 94 копеек долга, а также 85 340 рублей расходов на оплату услуг эксперта, распределены судебные расходы; в удовлетворении первоначального иска в остальной части, а также в удовлетворении встречного иска отказано. Постановлением Пятнадцатого арбитражного апелляционного суда от 28.09.2020 решение суда первой инстанции оставлено без изменения. Арбитражный суд Северо-Кавказского округа постановлением от 15.12.2020 указанные судебные акты оставил без изменения. Общество с ограниченной ответственностью «КДВ Воронеж»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В представленном на кассационную жалобу отзыве ООО «Компания по защите природы «Экотор» просит отказать в удовлетворении жалобы,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71, 86 Арбитражного процессуального кодекса Российской Федерации, установив, что во исполнение условий договора поставщик осуществил поставку покупателю согласованного сторонами оборудования, передал исполнительную документацию и паспорта на него, выполнил шеф-монтажные работы; оборудование покупателем принято, претензий относительно его качества, количества и комплектности не заявлено; невыполнение пуско-наладочных работ произошло по причинам, зависящим от покупателя; покупатель не 3 доказал наличие причин для расторжения договора, зависящих от поставщика, руководствуясь положениями статей 421, 431, 309, 310, 486, 506, 516, 702, 721 Гражданского кодекса Российской Федерации, суды пришли к выводам о наличии у покупателя обязанности по оплате фактически поставленного оборудования и работ по его монтажу (шеф-монтажу) и отсутствии оснований для удовлетворения встречного иска о взыскании неотработанного аванса.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«КДВ Воронеж»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