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«Сибирская угольная энергетическая компания» обратилось в Арбитражный суд города Москвы с иском о взыскании с общества с ограниченной ответственностью «ТрансЛизинг» 5 365 800 рублей неустойки за сверхнормативное использование вагонов. Решением Арбитражного суда города Москвы от 10.02.2020 иск удовлетворен. Постановлением Девятого арбитражного апелляционного суда от 05.08.2020 решение суда первой инстанции оставлено без изменения. Арбитражный суд Московского округа постановлением от 02.12.2020 указанные судебные акты оставил без изменения. Общество с ограниченной ответственностью «ТрансЛизинг»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нарушение ответчиком условий договоров в виде сверхнормативного простоя вагонов под операциями погрузки и выгрузки, руководствуясь положениями статей 329, 330, 421, 779 Гражданского кодекса Российской Федерации, суды пришли к выводу о наличии оснований для взыскания неустойки в заявленном размере, не установив оснований для применения статьи 333 Гражданского кодекса Российской Федерации.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«ТрансЛизинг»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