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Кировской области от 31.03.2020, оставленным без изменения постановлением Второго арбитражного апелляционного суда от 06.07.2020 и постановлением Арбитражного суда Волго-Вятского округа от 02.12.2020, в удовлетворении исковых требований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в том числе заключенные сторонами договоры, товарные накладные, платежные поручения, письма об уточнении назначения платежа, установив факт поставки компанией обществу товара на сумму 2 709 205 руб. 54 коп. и возврата компанией обществу денежных средств в размере 1 635 151 руб., руководствуясь статьями 319.1, 522, 1102 Гражданского кодекса Российской Федерации, суды первой и апелляционной инстанций пришли к выводу об отсутствии на стороне ответчика неосновательного обогащения и отказали в удовлетворении исковых требований, с чем впоследствии согласился суд округа. Доводы кассационной жалобы не опровергают выводы судов, направлены на переоценку обстоятельств, установленных судами,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«Волна»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