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27.03.2020, оставленным без изменения постановлением Девятого арбитражного апелляционного суда от 13.08.2020, в удовлетворении иска отказано. Арбитражный суд Московского округа постановлением от 02.12.2020 решение от 27.03.2020 и постановление Девятого арбитражного апелляционного суда от 13.08.2020 оставил без изменения. В кассационной жалобе общество «Геленджиктрансавто» просит об отмене судебных актов, ссылаясь на отсутствие просрочки платежей относительно доведенного ответчиком графика от 29.12.2018.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задолженности истца по реструктуризированным лизинговым платежам, подлежащим уплате наряду с текущими, установлено в том числе в деле № А40-6253/2017. Довод об игнорировании графика платежей от 29.12.2018 противоречит установленным судами обстоятельствам.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«Геленджиктрансавто»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