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06.03.2020, оставленным без изменения постановлением Тринадцатого арбитражного апелляционного суда от 06.07.2020, исковые требования удовлетворены. 2 Арбитражный суд Северо-Западного округа постановлением от 25.11.2020 решение от 06.03.2020 и постановление Тринадцатого арбитражного апелляционного суда от 06.07.2020 оставил без изменения. В кассационной жалобе организация просит об отмене судебных актов, ссылаясь на несоответствие расчета задолженности правилам статьи 319 Гражданского кодекса Российской Федерации, неправильное определение действительного займодавца.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требования возникшими из договора займа от 04.10.2016 № 9-ВЗ, в котором определены условия пользования займом и срок его возврата. Довод о неправильном учете уплаченных сумм противоречит условиям договора и статье 319 Гражданского кодекса Российской Федерации. Довод заявителя о фактическом займодавце был предметом исследования судов и обоснованно отклонен как не соответствующий условиям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«Частная охранная организация «Рэндл»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