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22.01.2020, оставленным без изменения постановлением Семнадцатого арбитражного апелляционного суда от 07.08.2020 и постановлением Арбитражного суда Уральского округа от 25.11.2020, в удовлетворении иска отказано. В кассационной жалобе кооператив просит об отмене судебных актов, ссылаясь на наличие законных условий для ответственности перевозчика за утрату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Кооператив в нарушение пункта 5 части 2 статьи 291.3 Арбитражного процессуального кодекса Российской Федерации не указал, в чем заключается нарушение его прав и законных интересов судебными актами, в отношении которых им не соблюдена установленная названным Кодексом последовательность обжалования. В указанной ситуации основания для пересмотра судебных актов отсутствуют.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– колхоз «Красный Октябрь»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