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23.07.2020 исковые требования удовлетворены. Не согласившись с решением суда первой инстанции, управление обратилось в Девятый арбитражный апелляционный суд с апелляционной жалобой. Определением Девятого арбитражного апелляционного суда от 17.11.2020 производство по настоящему делу приостановлено до вступления в законную силу судебного акта по делу № А40-187267/2020. Арбитражный суд Московского округа постановлением от 14.01.2021 отменил определение суда апелляционной инстанции и направил дело в Девятый арбитражный апелляционный суд для рассмотрения апелляционной жалобы по существу. В кассационной жалобе, поданной в Верховный Суд Российской Федерации, управление, ссылаясь на нарушение судом округа норм права, просит отменить его постановление и направить дело на новое рассмотрение в Арбитражный суд Московского округа.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Отменяя определение суда апелляционной инстанции и направляя дело для рассмотрения по существу апелляционной жалобы управления, суд округа руководствовался положениями статьи 143 Арбитражного процессуального кодекса Российской Федерации и исходил из того, что апелляционным судом не приведено объективных препятствий для рассмотрения апелляционной жалобы по настоящему делу. Довод заявителя о том, что он был лишен возможности защищать свои права и законные интересы в суде округа, поскольку в нарушение части 1 статьи 121 Арбитражного процессуального кодекса Российской Федерации информация о времени и месте судебного заседания размещена судом менее чем за 15 дней до начала заседания, подлежит отклонению с учетом положений части 6 статьи 121, части 2 статьи 290 Арбитражного процессуального кодекса Российской Федерации, разъяснений, изложенных в пункте 5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пункте 9 постановления Пленума Высшего Арбитражного Суда Российской Федерации от 25.12.2013 № 99 «О процессуальных сроках». Доводы кассационной жалобы не подтверждают существенных нарушений норм права, повлиявших на исход дела, и не являются достаточным основанием для пересмотра обжалуемого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«Ремонтно-строительное управление Тракторозаводского района»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