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22.01.2020, оставленным без изменения постановлением Девятого арбитражного апелляционного суда от 07.07.2020, в удовлетворении иска отказано. Арбитражный суд Московского округа постановлением от 26.11.2020 решение от 22.01.2020 и постановление Девятого арбитражного апелляционного суда от 07.07.2020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уплачено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Федерации». Учитывая установленные обстоятельства, суды пришли к правильному выводу об отсутствии правовых оснований для переложения выплаченной суммы на ответчика.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