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Рязанской области от 20.11.2019, оставленным без изменения постановлением Двадцатого арбитражного апелляционного суда от 20.08.2020 и постановлением Арбитражного суда Центрального округа от 20.11.2020, иск удовлетворен. В кассационной жалобе общество «Уником» просит об отмене судебных актов как не соответствующих фактическим обстоятельствам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Руководствуясь статьями 506, 516 Гражданского кодекса Российской Федерации, суды удовлетворили иск на основании установленных фактов поставки истцом товара по договору от 16.01.2017 № 16/1/17-1 и неоплаты его ответчиком. Вопросы доказывания и оценки доказательств, на которых основаны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«Уником»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