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07.09.2020 исковое заявление департамента оставлено без рассмотрения. Девятый арбитражный апелляционный суд постановлением от 02.11.2020, оставленным без изменения постановлением Арбитражного суда Московского округа от 15.01.2021, отменил определение от 07.09.2020 и направил вопрос на новое рассмотрение в Арбитражный суд города Москвы. В кассационной жалобе, поданной в Верховный Суд Российской Федерации, общество просит отменить постановления судов апелляционной инстанции и округа, ссылаясь на их незаконность.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2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кассационной жалобы не установлено. Отменяя определение суда первой инстанции и направляя вопрос на новое рассмотрение, апелляционный суд руководствовался положениями статьи 148 Арбитражного процессуального кодекса Российской Федерации и исходил из отсутствия оснований для оставления иска без рассмотрения, с чем впоследствии согласился суд округа. Доводы кассационной жалобы не подтверждают существенных нарушений норм права, повлиявших на исход дела, и не являются достаточным основанием для пересмотра обжалуемых судебных актов в кассационном порядке.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«Водное такси»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