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18.06.2020, оставленным без изменения постановлением Десятого арбитражного апелляционного суда от 03.09.2020 и постановлением Арбитражного суда Московского округа от 08.12.2020, исковые требования удовлетворены. В кассационной жалобе, поданной в Верховный Суд Российской Федерации, объединение,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для пересмотра обжалуемых судебных актов в кассационном порядке по доводам, изложенным заявителем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обществом в пользу объединения денежных средств в счет оплаты товара в рамках договора от 21.03.2019 № НГИ-15/19, отсутствие доказательств поставки объединением товара на спорную сумму либо ее возврата обществу, руководствуясь статьями 309, 310, 329, 330, 431, 457, 463, 469, 487, 506, 516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с чем впоследствии согласился суд округа. Доводы кассационной жалобы не опровергают выводы судов, не свидетельствуют о существенном нарушении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«Научно-производственное объединение «Вектор»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