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28.02.2020, оставленным без изменения постановлением Девятого арбитражного апелляционного суда от 08.09.2020 и постановлением Арбитражного суда Московского округа от 25.11.2020, иск удовлетворен. В кассационной жалобе общество «профайн РУС» просит об отмене судебных актов, ссылаясь на игнорирование восстановления автомобиля и реально понесенных на него затрат.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Судами не установлена конструктивная гибель принадлежащего истцу автомобиля и его восстановление. В силу статей 15, 1064 Гражданского кодекса Российской Федерации подлежат возмещению в полном объеме в том числе расходы, которые лицо должно будет произвести для восстановления нарушенного права. Такие расходы определены экспертным путем и взысканы в соответствии с указанными нормами.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«профайн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