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«Строительно-финансовая компания Сургутгазстрой» (далее - компания) обратилось в Арбитражный суд Ханты-Мансийского автономного округа – Югры с иском к обществу с ограниченной ответственностью «Домстройинвест», обществу с ограниченной ответственностью «Сатурн строй», индивидуальному предпринимателю Эрелю Динчеру о взыскании солидарно суммы основной задолженности в размере 59 037 669 руб. по договорам поручительства.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«Эрель Газстрой». Решением Арбитражного суда Ханты-Мансийского автономного округа - Югры от 08.11.2018, оставленным без изменения постановлением Восьмого арбитражного апелляционного суда от 07.03.2019 и постановлением Арбитражного суда Западно-Сибирского округа от 19.06.2020, исковые требования удовлетворены. Общество с ограниченной ответственностью «Новые бизнес-технологии» (далее – общество) обратилось в арбитражный суд с заявлением, в котором 2 просило произвести в порядке процессуального правопреемства замену взыскателя - компании на его правопреемника – общество в связи с заключением договора уступки права требования (цессии) от 03.06.2020 № 30-1-2020. Определением Арбитражного суда Ханты-Мансийского автономного округа - Югры от 04.09.2020, оставленным без изменения постановлением Восьмого арбитражного апелляционного суда от 13.11.2020, в удовлетворении заявления о процессуальном правопреемстве отказано. Постановлением Арбитражного суда Западно-Сибирского округа от 28.12.2020 определение суда первой инстанции и постановление суда апелляционной инстанции отменены, дело направлено на новое рассмотрение в Арбитражный суд Ханты-Мансийского автономного округа - Югры. В кассационных жалобах, поданных в Верховный Суд Российской Федерации, Эрель Динчер и финансовый управляющий, ссылаясь на нарушение судом округа норм права, просят отменить его постановление и оставить в силе определение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Суд округа, признав необоснованным вывод судов первой и апелляционной инстанций об отсутствии оснований для произведения процессуальной замены стороны, отменил соответствующие судебные акты и направил дело на новое рассмотрение с целью исследования доказательств и установления фактических обстоятельств, имеющих значение для разрешения данного вопроса. Изложенные в кассационных жалобах доводы не свидетельствуют о существенном нарушении норм материального и процессуального права, повлиявших на исход дела.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Эреля Динчера и финансового управляющего имуществом Эреля Динчера Баширова Геннадия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