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Чижов Максим Николаевич обратился в суд с заявлением о признании недействительным договора купли – продажи от 10.05.2016 транспортного средства – автомобиля BMW X5 XDRIVE 501, г.р.н. E394CB53, VIN WBAKR610400G95731, 2013 г.в., ПТС 77 УР 742746 от 25.11.2013, заключенного между должником и Мусаевым А.; применении последствий недействительности сделки. Определением Арбитражного суда Новгородской области от 23.01.2020, оставленным без изменения постановлениями Четырнадцатого арбитражного апелляционного суда от 25.06.2020 и Арбитражного суда Северо-Западного округа от 03.09.2020,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Федерации, руководствуясь статьёй 19, пунктом 2 статьи 61.2 Федерального закона от 26.10.2002 № 127-ФЗ «О несостоятельности (банкротстве)», сочли обоснованными требования конкурсного управляющего и признали недействительной оспариваемую сделку по признаку причинения вреда имущественным правам кредиторов, совершённую в период подозрительности при наличии у должника неисполненных обязательств в пользу заинтересованного лица по существенно заниженной стоимости в отсутствие доказательств наличия вырученных от продажи автомобиля денежных средств и финансовой возможности его приобретения заявителем.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Мусаеву Аширбаю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