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«ЕвроКом» обратилось в Арбитражный суд города Москвы с иском к Негосударственной автономной некоммерческой организации высшего образования «Институт мировых цивилизаций» о признании одностороннего отказа от агентского договора от 04.07.2016 № 47/16 ничтожным. Решением Арбитражного суда города Москвы от 08.05.2020 в удовлетворении иска отказано. Постановлением Девятого арбитражного апелляционного суда от 05.08.2020 решение суда первой инстанции оставлено без изменения. Арбитражный суд Московского округа постановлением от 01.12.2020 указанные судебные акты оставил без изменения. Общество с ограниченной ответственностью «ЕвроКом» обратилось в Судебную коллегию по экономическим спорам Верховного Суда Российской 2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ответчик, действуя добросовестно, осуществил право на односторонний отказ от исполнения договора, предоставленное ему пунктом 8.2 договора, не признанным в установленном порядке недействительным, руководствуясь положениями статей 310, 421, 432, 450.1, 779, 782, 1010 Гражданского кодекса Российской Федерации, суды пришли к выводу об отсутствии оснований для удовлетворения иска.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«ЕвроКом»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