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25.02.2020, оставленным без изменения постановлением Девятого арбитражного апелляционного суда от 06.07.2020 и постановлением Арбитражного суда Московского округа от 20.11.2020, в удовлетворении иска отказано. В кассационной жалобе общество просит об отмене указанных судебных актов, ссылаясь на нарушение в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Договор уступки права требования от 12.12.2017, на котором основаны заявленные требования, в силу применения к обстоятельствам его заключения статей 382, 388, 389 Гражданского кодекса Российской Федерации признан незаключенным. Вопросы доказывания и оценки доказательств, поставленные в жалобе,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«Юридическая фирма «ЛЕКС и 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