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22.06.2020 иск удовлетворен. Постановлением Девятого арбитражного апелляционного суда от 12.10.2020, оставленным без изменения постановлением Арбитражного суда Московского округа от 25.12.2020, решение отменено: с общества «ВЭБ-Лизинг» в пользу компании взыскано 683 326 рублей 61 копейка неосновательного обогащения, 44 723 рубля 47 копеек процентов за пользование чужими денежными средствами, проценты за пользование чужими денежными средствами на сумму неосновательного обогащения с 21.03.2020 из расчета ключевой ставки ЦБ РФ до момента уплаты; в пользу общества – 292 854 рубля 26 копеек неосновательного обогащения, 19 167 рублей 20 копеек процентов за пользование чужими денежными средствами, проценты за пользование чужими денежными средствами на сумму неосновательного 2 обогащения с 21.03.2020 из расчета ключевой ставки ЦБ РФ до момента уплаты. В кассационных жалобах компания и общество просят об отмене судебных актов апелляционного и окружного судов, ссылаясь на процессуальные нарушения и игнорирование недобросовестности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Вопросы приобщения доказательств и оценки поведения участников процесса отнесены к компетенции апелляционного суда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«Топливно-транспортная компания» и обществу с ограниченной ответственностью «Юристы по лизингу»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