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11.03.2020, оставленным без изменения постановлением Девятого арбитражного апелляционного суда от 30.07.2020 и постановлением Арбитражного суда Московского округа от 08.12.2020, в удовлетворении иска отказано за недоказанностью. В кассационной жалобе предприниматель просит об отмене судебных актов, ссылаясь на ненадлежащую оценку доказательств и подтвержденность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05.03.2019 № 1210/18-ОРП и применив к ним статьи 779 , 781 Гражданского кодекса Российской Федерации, суды признали недоказанность оказания предпринимателем услуг на заявленную сумму задолженности. Обстоятельства, связанные с доказыванием и оценкой доказательств, не образуют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"ТРЕЙДПАК"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