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21.01.2020, оставленным без изменения постановлением Семнадцатого арбитражного апелляционного суда от 05.08.2020, иск удовлетворен. Постановлением Арбитражного суда Уральского округа от 16.12.2020 решение и постановление апелляционного суда изменены: иск удовлетворен частично. В кассационной жалобе общество «РейлТрансЛайн» просит о пересмотре постановления окружного суда, ссылаясь на неопределенность срока исполнения обязательства.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 вопросе исчисления срока исковой давности суды руководствовались условиями договора от 19.08.2014 о взаимодействии сторон в связи с оборотом вагонов, определенностью срока исполнения обязательства по возврату вагонов, статьями 196 , 199 , пунктом 2 статьи 200 Гражданского кодекса Российской Федерации. Доводы жалобы не подтверждают нарушения норм права об исковой давности и не создают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«РейлТрансЛайн»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РЕЙЛТРАНСЛАЙН (подробнее) ООО ТРАНСПОРТНАЯ КОМПАНИЯ РЕЙЛТРАНСЛАЙН (подробнее) Ответчики: ООО "ТРАНС ЖД" (подробнее) Судьи дела: Ксенофонтова Н.А. (судья) (подробнее) Судебная практика по: Исковая давность, по срокам давности Судебная практика по применению норм ст. 200, 202, 204, 205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