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21.05.2020, оставленным без изменения постановлением Семнадцатого арбитражного апелляционного суда от 19.08.2020 и постановлением Арбитражного суда Уральского округа от 08.12.2020, взыскано 185 332 рубля 77 копеек процентов. В кассационной жалобе общество «Электрозавод» просит о пересмотре судебных актов, ссылаясь на бездоказательность доводов ответчика о некачественности товара и злоупотребление им правом.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право на начисление процентов с момента приемки покупателем (ответчиком) товара по качеству в соответствии с условиями договора от 03.08.2018 № 19/13924-Д и статьями 395, 486, 506, 513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«Электрозавод»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