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11.03.2020, оставленным без изменения постановлением Семнадцатого арбитражного апелляционного суда от 19.06.2020 и постановлением Арбитражного суда Уральского округа от 01.10.2020, первоначальный иск удовлетворен частично, в удовлетворении встречного иска отказано. В кассационной жалобе общество просит о пересмотре судебных актов, ссылаясь на игнорирование прекращения обязательств по первоначальному 2 иску мировым соглашением и отсутствие уведомления завода о готовности товара к выборке.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неурегулирование заключенным в деле № А33-10771/2019 мировым соглашением спора в отношении поставки, требования в связи с которой заявлены в первоначальном иске, поэтому удовлетворили его в соответствии со статьями 330, 333, 506, 516, 823 Гражданского кодекса Российской Федерации. Взаимосвязи между неуведомлением о готовности товара и невыборкой его в качестве условия для применения ответственности по встречному иску судами не установлено.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«Сибирьпартнерстрой»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