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(далее – реестр) его требования в размере 7 143 572 рублей 49 копеек. Определением Арбитражного суда города Москвы от 03.06.2020 требование признано обоснованным и включено в третью очередь реестра. Постановлением Девятого арбитражного апелляционного суда от 01.09.2020, оставленным без изменения постановлением Арбитражного суда Московского округа от 24.11.2020,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повторно разрешая спор, апелляционный суд, руководствуясь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того, что в условиях заинтересованности сторон рассматриваемых арендных отношений и необходимости применения повышенного стандарта доказывания предприниматель не подтвердил реальность и экономическую целесообразность приобретения прав требований к должнику.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Романову Роману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