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от 04.03.2020 и дополнительным решением от 19.03.2020 Арбитражного суда Челябинской области взыскано 373 990 рублей неустойки и 4 000 рублей расходов на услуги представителя. Восемнадцатый арбитражный апелляционный суд постановлением от 11.08.2020 решение от 04.03.2020 и дополнительное решение от 19.03.2020 оставил без изменения. Арбитражный суд Уральского округа постановлением от 02.12.2020 решение от 04.02.2020, дополнительное решение от 19.03.2020 и постановление Восемнадцатого арбитражного апелляционного суда от 11.08.2020 оставил без изменения. В кассационной жалобе предприниматель просит об отмене судебных актов вследствие неправомерного отказа в уменьшении неустойки. 2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условия для применения договорной неустойки и влияющие на ее размер, установлены судами применительно к исполнению сторонами условий договоров-заявок на перевозку грузов и в соответствии со статьями 330, 333, 401, 431, 801 Гражданского кодекса Российской Федерации. Приведенные в рассматриваемой жалобе доводы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Третьяк И.В.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