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22 марта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должника Тужилкин В.И. обратился в суд с заявлением о включении в третью очередь реестра требований кредиторов должника (далее – реестр) его требования в размере 320 656 625 рублей 23 копеек задолженности по договору займа № 1 от 19.08.2011, в том числе: 214 161 803 рублей 63 копеек – основной долг, 106 494 821 рубль 60 копеек – проценты за пользование займом. Определением Арбитражного суда Рязанской области от 20.09.2019, оставленным без изменения постановлениями Двадцатого арбитражного апелляционного суда от 08.07.2020 и Арбитражного суда Центрального округа от 24.11.2020, заявление оставлено без удовлетворения. В кассационной жалобе, поданной в Верховный Суд Российской Федерации, заявитель просит отменить указанные судебные акты и направить дело на новое рассмотрение в суд первой инстанции.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2 Между тем по результатам изучения состоявшихся по делу судебных актов и доводов кассационной жалобы таких оснований не установлено. Разрешая спор, суды, руководствуясь статьёй 10 Гражданского кодекса Российской Федерации, статьями 71, 100, 142 Федерального закона от 26.10.2002 № 127-ФЗ «О несостоятельности (банкротстве)», квалифицировали поведение заявителя и иных юридических лиц по созданию контролируемой кредиторской задолженности как злоупотребление правом, а заключенные ими договоры об уступке права требования к должнику – ничтожными, в связи с чем пришли к выводу об отсутствии оснований для удовлетворения заявленных требований. Выводы судов соответствуют нормам права, оснований для переоценки этих выводов не имеется. Нарушений норм материального права, а также норм процессуального права, влекущих за собой безусловную отмену указанных судебных актов, судами не допущено. Несогласие заявителя с выводами судебных инстанций, основанными на установленных фактических обстоятельствах дела и оценке доказательств, не свидетельствует о неправильном применении судами норм материального и процессуального права, повлиявшем на исход дела. Основания для передачи кассационной жалобы на рассмотрение в судебном заседании Судебной коллегии Верховного Суда Российской Федерации отсутствуют. На основании изложенного и руководствуясь статьями 291.6,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Тужилкину Виктору Игоревичу в передаче его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