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20.01.2020 заявленное требование удовлетворено частично, признаны недействительными предписание в части пунктов 2, 3, 4, 5, 6, 7; представления об устранении 2 причин и условий, способствовавших совершению административного правонарушения от 14.05.2019 № 285, № 287, № 289, в остальной части в удовлетворении требований отказано. Постановлением Пятого арбитражного апелляционного суда от 23.06.2020 решение суда первой инстанции изменено, признаны недействительными предписание в части пунктов 3, 4, 5; представления об устранении причин и условий, способствовавших совершению административного правонарушения от 14.05.2019 № 287, № 289, в остальной части в удовлетворении требований отказано. Постановлением Арбитражного суда Дальневосточного округа от 17.11.2020 постановление суда апелляционной инстанции оставлено без изменения. В жалобе общество просит постановления судов апелляционной и кассационной инстанций отменить, решение суда первой инстанции оставить в силе.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Руководствуясь положениями Федерального закона от 30.03.1999 № 52-ФЗ «О санитарно-эпидемиологическом благополучии населения» Федерального закона от 23.02.2013 № 15-ФЗ «Об охране здоровья граждан от воздействия окружающего табачного дыма и последствий потребления табака», постановления Правительства РФ от 03.09.2010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3 животным, растениям и окружающей среде», СанПиН 2.1.7.1322-03 «Гигиенические требования к размещению и обезвреживанию отходов производства и потребления», Приказ Минздрава России от 12.05.2014 № 214н «Об утверждении требований к знаку о запрете курения и к порядку его размещения», суд апелляционной инстанции изменил решение суда первой инстанции, признав законность оспариваемых предписания и представления в обжалуемой части, исходя из того, что производимый обществом сбор и накопление ртутных ламп не соответствует требованиям безопасности, а также установив ненадлежащую организацию защиты работников от воздействия табачного дыма; также суд исходил из обоснованного указания в представлении перечня мер для устранения выявленных нарушений. Доводы жалобы были предметом исследования судов и получили исчерпывающую правовую оценку с учетом установленных обстоятельств, свидетельствующих о том, что обществом не обеспечен надлежащий контроль за сбором и накоплением отходов производства и потребления, а также за соблюдением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обществом для осуществления своей деятельности. Ссылки на иную судебную практику не могут служить основанием для отмены или изменения обжалуемых актов по настоящему делу, поскольку при рассмотрении дел об административном правонарушении судами дано правовое толкование применимым нормам с учетом обстоятельств, присущих каждому конкретному делу и основанных на представленных доказательствах. Несогласие заявителя жалобы с оценкой имеющихся в деле доказательств и с толкованием должностным лицом и судебными инстанциями норм Кодекса Российской Федерации об административных правонарушениях и законодательства, подлежащих применению к рассматриваемым правоотношениям, не свидетельствует о том, что при рассмотрении данного 4 дела допущены существенные нарушения названного Кодекса, не позволившие всесторонне, полно и объективно рассмотреть дело.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