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04.08.2020, оставленным без изменения постановлением Двенадцатого арбитражного апелляционного суда от 24.09.2020, предприниматель привлечен к административной ответственности по части 2 статьи 14.43 Кодекса 2 Российской Федерации об административных правонарушениях и ему назначено наказание в виде административного штрафа в размере 30 000 рублей, изъятый товар направлен на уничтожение. Постановлением Арбитражного суда Поволжского округа от 17.12.2020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незаконным и необоснованным.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реализации пищевой продукции с нарушением требований технических регламентов, создающим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3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пищевой продукции», Технический регламент Евразийского экономического союза «О безопасности рыбы и рыбной продукции», суды пришли к выводу о доказанности административным органом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установив, что пищевая продукция находилась в обороте без соответствующей маркировки и без документов, подтверждающих ее качество и безопасность. Процедура и срок давности привлечения к административной ответственности соблюдены. Наказание назначено в пределах санкции нормы. Само по себе нарушение срока составления протокола об административном правонарушении не является основанием, исключающим производство по делу об административном правонарушении, если этим протоколом и другими доказательствами по делу подтверждается факт правонарушения, и он составлен в пределах срока давности, установленного статьей 4.5 Кодекса Российской Федерации об административных правонарушениях. Ссылка заявителя на определение Судебной коллегии по экономическим спорам Верховного Суда Российской Федерации по другому делу не может являться основанием для передачи кассационной жалобы по настоящему делу в судебное заседание Судебной коллегии, поскольку правовая позиция Судебной 4 коллегии по экономическим спорам Верховного Суда Российской Федерации основана на других фактических обстоятельствах, существенно отличающихся от обстоятельств по настоящему делу.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