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«Трансстроймеханизация» (далее – кредитор) обратилось в суд с заявлением о привлечении Бурлакова Сергея Ивановича к субсидиарной ответственности по обязательствам перед ним в размере 28 234 796 рублей 76 копеек; привлечении к субсидиарной ответственности Очинской Н.В., Давыдова Михаила Михайловича, Давыдова Даниела Николаевича по обязательствам должника в размере требований кредиторов, включенных в реестр требований, а также заявленных после закрытия реестра требований и требований кредиторов по текущим платежам, оставшихся непогашенными по причине недостаточности имущества должника. Определением Арбитражного суда Смоленской области от 26.05.2020, оставленным без изменения постановлением Двадцатого арбитражного апелляционного суда от 30.07.2020, признано доказанным наличие оснований для привлечения Бурлакова С.И. к субсидиарной ответственности по обязательствам должника, производство по заявлению в данной части приостановлено до окончания расчётов с кредиторами. В удовлетворении заявления в остальной части отказано. Постановлением Арбитражного суда Центрального округа от 23.11.2020 вышеуказанные судебные акты в части отказа в удовлетворении заявления кредитора отменены, дело в отменённой части направлено на новое рассмотрение в Арбитражный суд Смоленской области. В кассационной жалобе, поданной в Верховный Суд Российской Федерации, заявитель просит отменить постановление суда округа, 2 определение суда первой инстанции и постановление апелляционного суда оставить в силе.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Частично отменяя принятые по делу судебные акты, суд округа, руководствуясь статьями 53, 53.1 Гражданского кодекса Российской Федерации, пунктом 4 статьи 10 Федерального закона от 26.10.2002 № 127-ФЗ «О несостоятельности (банкротстве)», признал основанными на неполном выяснении фактических обстоятельств, а потому преждевременными, выводы судов об отсутствии оснований для привлечения Очинской Н.В., Давыдова М.М. и Давыдова Д.Н к субсидиарной ответственности по обязательствам должника, в связи с чем направил обособленный спор в отмененной части на новое рассмотрение.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 новом рассмотрении заявитель не лишена возможности изложить свои доводы со ссылками на нормы права и имеющиеся в деле доказательства, поскольку обособленный спор в отношении заявленных к ней требований направлен судом округа на новое рассмотрение, а вопрос об удовлетворении либо отказе в их удовлетворении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Очинской Наталье Васильевне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