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08.07.2020 предприниматель привлечен к административной ответственности, предусмотренной частью 2 статьи 14.16 Кодекса Российской Федерации об административных правонарушениях и ему назначено наказание в виде штрафа в размере 10 000 рублей, изъятая алкогольная продукция направлена на уничтожение. Определением Арбитражного суда Волгоградской области от 22.07.2020 в удовлетворении заявления о принятии дополнительного решения отказано. Постановлением Двенадцатого арбитражного апелляционного суда от 11.09.2020 решение и определение суда первой инстанции оставлены без изменения. Постановлением Арбитражного суда Поволжского округа от 24.12.2020 указанные судебные акты оставлены без изменения. Предприниматель просит обжалуемые судебные акты отменить, считая их незаконными и необоснованными. При изучении доводов жалобы, дополнения к ней,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с соответствующим заявлением послужил выявленный административным органом факт осуществления предпринимателем оборота алкогольной продукции без сопроводительных документов, удостоверяющих легальность ее производства и оборота. Частью 2 статьи 14.16 Кодекса Российской Федерации об административных правонарушениях предусмотрена административная ответственность за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продукции», суды пришли к выводу о доказанности административным органом в действиях предпринимателя состава правонарушения, ответственность за совершение которого предусмотрена частью 2 статьи 14.16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Наказание назначено в пределах санкции нормы. Приведенные в кассационной жалобе доводы являлись предметом исследования судов и получили исчерпывающую правовую оценку в соответствующих судебных актах с учетом необходимости наличия документов на каждую партию товара и представленных сторонами доказательств, не согласиться с которой оснований не имеется. При этом суды исходили из того, что в отсутствие установленных обстоятельств, свидетельствующих о наличии постановления о возбуждении уголовного дела по тому же факту данных противоправных действий, производство по делу об административном правонарушении не подлежит прекращению. Выводы судов в указанной части не противоречат правовой позиции, изложенной в ответе на вопрос 5 Обзора судебной практики Верховного Суда РФ за первый квартал 2013 года, в соответствии с которой при значительном совпадении объективных признаков правонарушения и преступления привлечение такого лица одновременно к административной ответственности и к уголовной ответственности недопустимо. Другие доводы кассационной жалобы направлены на переоценку фактических обстоятельств дела, установленных арбитражными судами, что само по себе не является основанием для пересмотра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КОМИТЕТ ПРОМЫШЛЕННОЙ ПОЛИТИКИ, ТОРГОВЛИ И ТОПЛИВНО-ЭНЕРГЕТИЧЕСКОГО КОМПЛЕКСА ВОЛГОГРАДСКОЙ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