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Оценив доводы, изложенные в ходатайстве, и приложенные к нему документы, суд приходит к выводу о наличии оснований для его удовлетворения. Руководствуясь статьями 102 , 184 , 185 Арбитражного процессуального кодекса Российской Федерации, статьями 333.22 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ФИО1 удовлетворить. Предоставить ФИО1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 Суд: Верховный Суд РФ (подробнее) Истцы: Конкурсный управляющий Фонда жилищного строительства города Сыктывкара Плишкина Екатерина Александровна (подробнее) Фонд жилищного строительства города Сыктывкара (подробнее) Ответчики: Межрайонная инспекция Федеральной налоговой службы №5 по Республике Коми (подробнее) Иные лица: Арбитражный суд Волго-Вятского округа (подробнее) Второй апелляционный арбитражный суд (подробнее) ИФНС по г.Сыктывкару (подробнее) Следственный отдел по городу Сыктывкар (подробнее) Сыктывкарский городской суд Республики Коми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