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05.12.2019, оставленным без изменения постановлением Девятого арбитражного апелляционного суда от 08.09.2020 и постановлением Арбитражного суда Московского округа от 21.12.2020, в удовлетворении иска отказано. В кассационной жалобе, поданной в Верховный Суд Российской Федерации, товарищество,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 в ином составе судей. Конкурсные кредиторы в своей кассационной жалобе, также ссылаясь на нарушение судами норм права, просят отменить названные судебные акты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товарищества (инвестор-застройщик) по настоящему делу основаны на положениях статьи 1102 Гражданского кодекса Российской Федерации и мотивированы тем, что им в период с 2001 по 2005 годы в рамках инвестиционного договора от 20.11.2000 № 191, расторгнутого вступившим в законную силу судебным актом, в связи с реализацией инвестиционного проекта понесены затраты, которые обществом (заказчик) не возмещены.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421, 1102, 1107 Гражданского кодекса Российской Федерации, статьей 18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приведенными в постановлении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3 создана или приобретена в будущем», суды первой и апелляционной инстанций пришли к выводу об отсутствии на стороне общества неосновательного обогащения за счет товарищества ввиду недоказанности последним факта вложения в строительство спорного объекта его собственных денежных средств, в связи с чем отказали в удовлетворении иска. Суд округа согласился с выводами судов первой и апелляционной инстанций. Доводы кассационных жалоб не опровергают выводы судов и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