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«Бамстроймеханизация»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товариществу собственников жилья «Шураново» (далее – Товарищество) о взыскании: неосновательного обогащения за потребленную тепловую энергию за период с 01.12.2017 по 28.02.2018 в размере 52 671,28 руб., 5 742,41 руб. процентов за пользование чужими денежными средствами за период с 16.05.2018 по 31.12.2019; неосновательного обогащения за обслуживание теплотрассы и приборов учета теплового пункта за период с 01.12.2016 по 31.09.2019 в размере 59 053,67 руб., 6 951,13 руб. процентов за пользование чужими денежными средствами за период с 01.12.2016 по 31.12.2019; неосновательного обогащения в виде расходов на «правовое сопровождение» за период с 01.05.2018 по 31.12.2018 в размере 58 944 руб., 5 354,08 руб. процентов за пользование чужими денежными средствами за период с 28.06.2018 по 31.12.2019, а также процентов за пользование чужими денежными средствами с 01.01.2020 по день фактической уплаты задолженности. Решением Арбитражного суда Хабаровского края от 22.06.2020, оставленным без изменения постановлением Шестого арбитражного апелляционного суда от 08.09.2020 и постановлением Арбитражного суда 2 Дальневосточного округа от 23.11.2020,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связи с внесением изменений Постановлением Правительства Российской Федерации от 26.12.2016 № 1498 в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(далее - Правила N 354), коммунальные услуги в нежилом помещении не предоставляются, а правоотношения по поставке ресурса в нежилые помещения регламентируются договором купли-продажи. По мнению Товарищества, в отсутствие заключенного между потребителем и ресурсоснабжающей организацией (далее – РСО) договора теплоснабжения и потреблением ресурса посредством сетей МКД, ответчик по отношению к истцу является ресурсоснабжающей организацией, а потому полагает правомерным определение объема потребленного ресурса расчетным способом как для бездоговорного потребления (абзац 5 пункта 6 Правил N 354). Кроме того, заявитель указывает на нарушение судами норм процессуального права ввиду не привлечения к участию в деле РСО.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жилых и нежилых помещений, расположенных по адресу: Хабаровский край, г. Хабаровск, ул. Гамарника, д. 17 (свидетельства о государственной регистрации права собственности: серия 27-АВ № 652162, серия 27-АВ № 652158, серия 27-АВ № 652157, серия 27-АВ № 684430; общая площадь помещений 678,3 кв. м). Между Товариществом, являющимся исполнителем коммунальных услуг в отношении указанного МКД, (потребитель) и акционерным обществом «Дальневосточная генерирующая компания» (РСО) 01.02.2014 заключен договор теплоснабжения жилого фонда управляющей организации № 3/1/04314/2211. Между Обществом и ПСИЗЖ «Квартира» (Товарищество) 01.02.2005 заключено соглашение сроком до 01.06.2005, в соответствии с которым истец производил платежи в согласованной сторонами форме ежемесячно до 25 числа месяца следующего за отчетным в суммах, определенных ежемесячными 3 расчетами по формуле: сумма в счете-фактуре делится пополам между Обществом и Товариществом, т.е. по 50% от стоимости тепловой энергии выставленной по счету энергоснабжающей организацией за общую площадь всего жилого дома. Несмотря на прекращение действия соглашения, Товарищество продолжало выставлять счета за потребление теплоэнергии в размере 50% от общей площади дома, притом, что занимаемая истцом площадь составляет 28,24% от всей площади дома. Обращения истца к Товариществу о перерасчете платежей за потребленную тепловую энергию, за техническое обслуживание теплотрассы, техническое обслуживание узла учета тепловой энергии и системы АСКУЭ с учетом занимаемой им площади в жилом здании, оставлены без удовлетворения. В связи неверным порядком определения потребленной тепловой энергии за период с 01.12.2017 по 28.02.2018, платы за обслуживание теплотрассы и приборов учета теплового пункта за период с 01.12.2016 по 31.09.2019, платы за правовое сопровождение в период с 01.05.2018 по 31.12.2018 и наличием переплаты,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307, 539, 544, 1102 Гражданского кодекса Российской Федерации, статьями 153, 158 Жилищного кодекса Российской Федерации, суды удовлетворили заявленные требования, установив наличие на стороне Товарищества неосновательного обогащения, образовавшегося вследствие переплаты при оплате оказанных услуг. Судами справедливо отмечено, что несмотря на преюдициальность (часть 2 статьи 69 АПК РФ) факта необоснованного порядка определения потребленного истцом коммунального ресурса, установленного в деле № А73-14613/2018, ответчик продолжает производить начисления с нарушением положений, установленных Правилами № 354.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«Шураново»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