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«Траст» на основании договора цессии от 23.12.2015 № 64/86 обратилось в Арбитражный суд города Москвы с иском о взыскании со страхового акционерного общества «ВСК» 236 148 рублей 21 копейки страхового возмещения. Решением Арбитражного суда города Москвы от 09.06.2020 иск удовлетворен. Постановлением Девятого арбитражного апелляционного суда от 16.10.2020 решение суда первой инстанции оставлено без изменения. Арбитражный суд Московского округа постановлением от 25.12.2020 указанные судебные акты оставил без изменения. Страховое акционерное общество «ВСК»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признав доказанным наступление страхового случая, установив, что договор добровольного коллективного страхования жизни и здоровья заемщиков носит обеспечительный характер в отношении кредитного договора и следует судьбе основного обязательства, руководствуясь положениями статей 329, 382, 384, 388, 934, 943, 956 Гражданского кодекса Российской Федерации, суды пришли к выводу об уступке истцу права требования суммы страхового возмещения. Доводы жалобы о недоказанности наступления страхового случая и наличии обстоятельств, освобождающих от выплаты страхового возмещения,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страховому акционерному обществу «ВСК»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