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Зориков Александр Павлович обратился в Арбитражный суд города Москвы с иском к индивидуальному предпринимателю Михалеву Алексею Анатольевичу о расторжении договора закупки от 12.03.2019 № 12/03-2019, взыскании 346 500 рублей убытков и 50 000 рублей расходов на оплату услуг представителя. Решением Арбитражного суда города Москвы от 17.06.2020 иск удовлетворен. Постановлением Девятого арбитражного апелляционного суда от 06.10.2020 решение суда первой инстанции оставлено без изменения. Арбитражный суд Московского округа постановлением от 17.12.2020 указанные судебные акты оставил без изменения. Индивидуальный предприниматель Михалев Алексей Анатольевич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существенное нарушение ответчиком (покупателем) условий договора, выразившееся в нарушении срока вывоза товара со склада поставщика, недоказанность поставки истцом товара ненадлежащего качества и возникновения у истца убытков в связи с отказом ответчика вывезти товар со склада, руководствуясь положениями статей 15, 393, 309, 310, 450, 452, 469, 475, 513 Гражданского кодекса Российской Федерации, суды пришли к выводу об обоснованности заявленного иска. Доводы, изложенные в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Михалеву Алексею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