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«Акаунтпрофи» обратилось в Арбитражный суд Московской области с иском о взыскании с общества с ограниченной ответственностью «БИМ» 524 160 рублей задолженности по договору на оказание бухгалтерских услуг от 01.05.2018 и 72 412 рублей 71 копейки неустойки. Решением Арбитражного суда Московской области от 20.02.2020 иск удовлетворен. Постановлением Десятого арбитражного апелляционного суда от 14.08.2020 решение суда первой инстанции оставлено без изменения. Арбитражный суд Московского округа постановлением от 20.11.2020 указанные судебные акты оставил без изменения. Общество с ограниченной ответственностью «БИМ»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68, 71 Арбитражного процессуального кодекса Российской Федерации, истолковав условия договора в соответствии с положениями статьи 431 Гражданского кодекса Российской Федерации, установив факт оказания услуг и отсутствие доказательств их оплаты, руководствуясь положениями статей 309, 310, 330, 779, 781 Гражданского кодекса Российской Федерации, суды пришли к выводу о наличии оснований для удовлетворения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«БИМ»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