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25.06.2020, оставленным без изменения постановлением Седьмого арбитражного апелляционного суда от 03.09.2020, оспариваемое постановление изменено в части назначения административного наказания, обществу определена мера ответственности в виде административного штрафа в размере 18 608 477,23 рублей. Постановлением Арбитражного суда Западно-Сибирского округа от 23.11.2020 указанные судебные акты оставлены без изменения. Общество и банк обратились в Верховный Суд Российской Федерации с кассационными жалобами, в которых просят принятые по делу судебные акты отменить, ссылаясь на допущенные, по их мнению, нарушения норм материального и процессуального права. При изучении доводов жалоб и принятых по делу судебных актов оснований для передачи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незаконной валютной операции.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3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2.9, статьи 4.1.1 Кодекса Российской Федерации об административных правонарушениях не выявлено, назначенный штраф снижен судом. Изложенные в жалобах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установленных обстоятельств отсутствия реальных хозяйственных операций. Оснований для иной оценки указанных обстоятельств исходя из доводов жалоб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