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12.07.2019 в иске отказано. 2 Суд апелляционной инстанции перешел к рассмотрению дела по общим правилам искового производства, установленным для рассмотрения дела в арбитражном суде первой инстанции; постановлением от 14.09.2020 решение суда первой инстанции отменил как вынесенное с нарушением норм процессуального права, иск удовлетворил. Постановлением Арбитражного суда Уральского округа от 11.12.2020 постановление суда апелляционной инстанции оставлено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Суд апелляционной инстанции, руководствуясь положениями статей 310, 450, 452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удовлетворил иск, признав наличие оснований для расторжения контракта. Доводы жалобы были предметом исследования судов и получили исчерпывающую правовую оценку с учетом установленных обстоятельств, свидетельствующих о соблюдении истцом досудебного порядка урегулирования спора,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