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25.03.2020, оставленным без изменения постановлением Девятого арбитражного апелляционного суда от 09.09.2020, исковые требования удовлетворены. Арбитражный суд Московского округа постановлением от 04.12.2020 решение от 25.03.2020 и постановление Девятого арбитражного апелляционного суда от 09.09.2020 оставил без изменения. В кассационной жалобе общество просит об отмене судебных актов, ссылаясь на отсутствие подлинного договора займа и надлежащих доказательств существования заемных правоотношений.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представленных доказательств установили реальное предоставление денежных средств по договору займа процентного от 16.04.2015 № 16/04-15, являющееся в силу 807, 809 Гражданского кодекса Российской Федерации основанием для возврата долга.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«Автоспеццентр»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