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11.03.2020, оставленным без изменения постановлениями Первого арбитражного апелляционного суда от 22.06.2020 и Арбитражного суда Волго-Вятского округа от 20.11.2020, заявленное требование удовлетворено частично, решение инспекции от 16.10.2019 № 1497 признано недействительным в части предложения уплатить 21 459 рублей 60 копеек штрафа по пункту 1 статьи 122 Налогового кодекса Российской Федерации (далее – Налоговый кодекс). В удовлетворении остальной части заявленного требования отказано. В кассационной жалобе предприятие ставит вопрос об отмене принятых по делу судебных актов в части отказа в удовлетворении заявления, ссылаясь на нарушение судами норм права, несоответствие выводов судов фактическим обстоятельствам дела.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проверки представленной предприятием налоговой декларации по налогу на прибыль организаций за 2018 год инспекцией вынесено оспариваемое решение. Основанием для принятия ненормативного акта послужили выводы налогового органа о занижении налогоплательщиком налоговой базы в результате не включения в состав внереализационных доходов суммы субсидий на возмещение части потерь в доходах, связанных с перевозкой пассажиров городским наземным электрическим транспортом по социально значимым маршрутам регулярных перевозок на территории муниципального образования город Новочебоксарск в 2018 году. Решением Управления Федеральной налоговой службы по Владимирской области от 16.12.2019 № 247, вынесенным по результатам рассмотрения жалобы предприятия, решение налогового органа оставлено без изменения. Оценив представленные доказательства по правилам главы 7 Арбитражного процессуального кодекса Российской Федерации, руководствуясь положениями статьи 78 Бюджетного кодекса Российской Федерации, статей 111, 112, 114, 247 – 250, 271 Налогового кодекса, суды пришли к выводу о законности оспариваемого решения инспекции, уменьшив размер штрафа за неуплату налога на прибыль. Судебные инстанции исходили из наличия у предприятия обязанности по включению в состав внереализационных доходов при исчислении налога на прибыль организаций за 2018 год суммы субсидии. При исследовании обстоятельств дела установлено, что налогоплательщик должен учитывать доходы в сумме полученной субсидии на дату их зачисления, в связи с чем основания для включения суммы субсидии, полученной в текущем периоде, в состав доходов, полученных в предыдущем периоде, отсутствуют. Доводы налогоплательщика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3 ошибке, основаны на неверном токовании норм права, аналогичны доводам, ранее заявлявшимся в судах, которым дана соответствующая правовая оценка.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Новочебоксарскому муниципальному унитарному предприятию троллейбусного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